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25AB" w14:textId="3E360B18" w:rsidR="00571ABC" w:rsidRPr="009039D3" w:rsidRDefault="003902EA" w:rsidP="009039D3">
      <w:pPr>
        <w:pStyle w:val="Titolo"/>
        <w:spacing w:after="240"/>
        <w:contextualSpacing w:val="0"/>
        <w:jc w:val="center"/>
        <w:rPr>
          <w:color w:val="auto"/>
          <w:sz w:val="40"/>
        </w:rPr>
      </w:pPr>
      <w:r w:rsidRPr="009039D3">
        <w:rPr>
          <w:color w:val="auto"/>
          <w:sz w:val="40"/>
        </w:rPr>
        <w:t>Nota metodologica</w:t>
      </w:r>
    </w:p>
    <w:p w14:paraId="787C1D36" w14:textId="77777777" w:rsidR="002D7523" w:rsidRPr="002C68CD" w:rsidRDefault="002D7523" w:rsidP="00E15342">
      <w:pPr>
        <w:spacing w:before="120" w:after="120" w:line="300" w:lineRule="exact"/>
        <w:jc w:val="both"/>
        <w:rPr>
          <w:rFonts w:asciiTheme="majorHAnsi" w:hAnsiTheme="majorHAnsi" w:cstheme="majorHAnsi"/>
          <w:sz w:val="22"/>
          <w:szCs w:val="22"/>
        </w:rPr>
        <w:sectPr w:rsidR="002D7523" w:rsidRPr="002C68CD" w:rsidSect="002C68CD">
          <w:pgSz w:w="11900" w:h="16840"/>
          <w:pgMar w:top="720" w:right="843" w:bottom="720" w:left="993" w:header="708" w:footer="708" w:gutter="0"/>
          <w:cols w:space="708"/>
          <w:docGrid w:linePitch="326"/>
        </w:sectPr>
      </w:pPr>
    </w:p>
    <w:p w14:paraId="1B735AF1" w14:textId="559C54B1" w:rsidR="001C1403" w:rsidRPr="002C68CD" w:rsidRDefault="001C1403" w:rsidP="00E15342">
      <w:pPr>
        <w:spacing w:before="120" w:after="120"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2C68CD">
        <w:rPr>
          <w:rFonts w:asciiTheme="majorHAnsi" w:hAnsiTheme="majorHAnsi" w:cstheme="majorHAnsi"/>
          <w:sz w:val="22"/>
          <w:szCs w:val="22"/>
        </w:rPr>
        <w:t xml:space="preserve">Ai fini della definizione del riparto delle risorse </w:t>
      </w:r>
      <w:r w:rsidR="0056577F" w:rsidRPr="002C68CD">
        <w:rPr>
          <w:rFonts w:asciiTheme="majorHAnsi" w:hAnsiTheme="majorHAnsi" w:cstheme="majorHAnsi"/>
          <w:sz w:val="22"/>
          <w:szCs w:val="22"/>
        </w:rPr>
        <w:t>indicate</w:t>
      </w:r>
      <w:r w:rsidRPr="002C68CD">
        <w:rPr>
          <w:rFonts w:asciiTheme="majorHAnsi" w:hAnsiTheme="majorHAnsi" w:cstheme="majorHAnsi"/>
          <w:sz w:val="22"/>
          <w:szCs w:val="22"/>
        </w:rPr>
        <w:t xml:space="preserve"> all’art. </w:t>
      </w:r>
      <w:r w:rsidR="001D5661" w:rsidRPr="002C68CD">
        <w:rPr>
          <w:rFonts w:asciiTheme="majorHAnsi" w:hAnsiTheme="majorHAnsi" w:cstheme="majorHAnsi"/>
          <w:sz w:val="22"/>
          <w:szCs w:val="22"/>
        </w:rPr>
        <w:t>49</w:t>
      </w:r>
      <w:r w:rsidRPr="002C68CD">
        <w:rPr>
          <w:rFonts w:asciiTheme="majorHAnsi" w:hAnsiTheme="majorHAnsi" w:cstheme="majorHAnsi"/>
          <w:sz w:val="22"/>
          <w:szCs w:val="22"/>
        </w:rPr>
        <w:t xml:space="preserve"> </w:t>
      </w:r>
      <w:r w:rsidR="00645344" w:rsidRPr="002C68CD">
        <w:rPr>
          <w:rFonts w:asciiTheme="majorHAnsi" w:hAnsiTheme="majorHAnsi" w:cstheme="majorHAnsi"/>
          <w:sz w:val="22"/>
          <w:szCs w:val="22"/>
        </w:rPr>
        <w:t>del DL 104/2020</w:t>
      </w:r>
      <w:r w:rsidRPr="002C68CD">
        <w:rPr>
          <w:rFonts w:asciiTheme="majorHAnsi" w:hAnsiTheme="majorHAnsi" w:cstheme="majorHAnsi"/>
          <w:sz w:val="22"/>
          <w:szCs w:val="22"/>
        </w:rPr>
        <w:t xml:space="preserve"> sono stati individuati</w:t>
      </w:r>
      <w:r w:rsidR="001D5661" w:rsidRPr="002C68CD">
        <w:rPr>
          <w:rFonts w:asciiTheme="majorHAnsi" w:hAnsiTheme="majorHAnsi" w:cstheme="majorHAnsi"/>
          <w:sz w:val="22"/>
          <w:szCs w:val="22"/>
        </w:rPr>
        <w:t xml:space="preserve"> </w:t>
      </w:r>
      <w:r w:rsidR="009B0F06" w:rsidRPr="002C68CD">
        <w:rPr>
          <w:rFonts w:asciiTheme="majorHAnsi" w:hAnsiTheme="majorHAnsi" w:cstheme="majorHAnsi"/>
          <w:sz w:val="22"/>
          <w:szCs w:val="22"/>
        </w:rPr>
        <w:t xml:space="preserve">tre </w:t>
      </w:r>
      <w:proofErr w:type="gramStart"/>
      <w:r w:rsidR="009B0F06" w:rsidRPr="002C68CD">
        <w:rPr>
          <w:rFonts w:asciiTheme="majorHAnsi" w:hAnsiTheme="majorHAnsi" w:cstheme="majorHAnsi"/>
          <w:sz w:val="22"/>
          <w:szCs w:val="22"/>
        </w:rPr>
        <w:t xml:space="preserve">macro </w:t>
      </w:r>
      <w:r w:rsidRPr="002C68CD">
        <w:rPr>
          <w:rFonts w:asciiTheme="majorHAnsi" w:hAnsiTheme="majorHAnsi" w:cstheme="majorHAnsi"/>
          <w:sz w:val="22"/>
          <w:szCs w:val="22"/>
        </w:rPr>
        <w:t>criteri</w:t>
      </w:r>
      <w:proofErr w:type="gramEnd"/>
      <w:r w:rsidR="009B0F06" w:rsidRPr="002C68CD">
        <w:rPr>
          <w:rFonts w:asciiTheme="majorHAnsi" w:hAnsiTheme="majorHAnsi" w:cstheme="majorHAnsi"/>
          <w:sz w:val="22"/>
          <w:szCs w:val="22"/>
        </w:rPr>
        <w:t>,</w:t>
      </w:r>
      <w:r w:rsidR="0056577F" w:rsidRPr="002C68CD">
        <w:rPr>
          <w:rFonts w:asciiTheme="majorHAnsi" w:hAnsiTheme="majorHAnsi" w:cstheme="majorHAnsi"/>
          <w:sz w:val="22"/>
          <w:szCs w:val="22"/>
        </w:rPr>
        <w:t xml:space="preserve"> </w:t>
      </w:r>
      <w:r w:rsidR="009B0F06" w:rsidRPr="002C68CD">
        <w:rPr>
          <w:rFonts w:asciiTheme="majorHAnsi" w:hAnsiTheme="majorHAnsi" w:cstheme="majorHAnsi"/>
          <w:sz w:val="22"/>
          <w:szCs w:val="22"/>
        </w:rPr>
        <w:t>ed ovvero</w:t>
      </w:r>
      <w:r w:rsidR="00623637" w:rsidRPr="002C68CD">
        <w:rPr>
          <w:rFonts w:asciiTheme="majorHAnsi" w:hAnsiTheme="majorHAnsi" w:cstheme="majorHAnsi"/>
          <w:sz w:val="22"/>
          <w:szCs w:val="22"/>
        </w:rPr>
        <w:t>:</w:t>
      </w:r>
    </w:p>
    <w:p w14:paraId="54EB88BE" w14:textId="77777777" w:rsidR="00F94612" w:rsidRPr="002C68CD" w:rsidRDefault="00F94612" w:rsidP="00765C73">
      <w:pPr>
        <w:pStyle w:val="Paragrafoelenco"/>
        <w:numPr>
          <w:ilvl w:val="0"/>
          <w:numId w:val="3"/>
        </w:numPr>
        <w:spacing w:before="120" w:after="120" w:line="300" w:lineRule="exact"/>
        <w:rPr>
          <w:rFonts w:asciiTheme="majorHAnsi" w:hAnsiTheme="majorHAnsi" w:cstheme="majorHAnsi"/>
          <w:sz w:val="22"/>
          <w:szCs w:val="22"/>
        </w:rPr>
        <w:sectPr w:rsidR="00F94612" w:rsidRPr="002C68CD" w:rsidSect="002C68CD">
          <w:type w:val="continuous"/>
          <w:pgSz w:w="11900" w:h="16840"/>
          <w:pgMar w:top="720" w:right="843" w:bottom="720" w:left="993" w:header="708" w:footer="708" w:gutter="0"/>
          <w:cols w:space="708"/>
          <w:docGrid w:linePitch="326"/>
        </w:sectPr>
      </w:pPr>
    </w:p>
    <w:p w14:paraId="5E33F6DA" w14:textId="70C8A664" w:rsidR="00623637" w:rsidRPr="002C68CD" w:rsidRDefault="00FB25D8" w:rsidP="00FB25D8">
      <w:pPr>
        <w:pStyle w:val="Paragrafoelenco"/>
        <w:numPr>
          <w:ilvl w:val="0"/>
          <w:numId w:val="3"/>
        </w:numPr>
        <w:spacing w:before="120" w:after="120"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2C68CD">
        <w:rPr>
          <w:rFonts w:asciiTheme="majorHAnsi" w:hAnsiTheme="majorHAnsi" w:cstheme="majorHAnsi"/>
          <w:b/>
          <w:sz w:val="22"/>
          <w:szCs w:val="22"/>
          <w:u w:val="single"/>
        </w:rPr>
        <w:t>Consistenza della rete viaria</w:t>
      </w:r>
      <w:r w:rsidRPr="002C68CD">
        <w:rPr>
          <w:rFonts w:asciiTheme="majorHAnsi" w:hAnsiTheme="majorHAnsi" w:cstheme="majorHAnsi"/>
          <w:sz w:val="22"/>
          <w:szCs w:val="22"/>
        </w:rPr>
        <w:t xml:space="preserve">: </w:t>
      </w:r>
      <w:r w:rsidR="002D7523" w:rsidRPr="002C68CD">
        <w:rPr>
          <w:rFonts w:asciiTheme="majorHAnsi" w:hAnsiTheme="majorHAnsi" w:cstheme="majorHAnsi"/>
          <w:sz w:val="22"/>
          <w:szCs w:val="22"/>
        </w:rPr>
        <w:t>lunghezza delle strade provinciali, con specificazione delle zone montane</w:t>
      </w:r>
      <w:r w:rsidRPr="002C68CD">
        <w:rPr>
          <w:rFonts w:asciiTheme="majorHAnsi" w:hAnsiTheme="majorHAnsi" w:cstheme="majorHAnsi"/>
          <w:sz w:val="22"/>
          <w:szCs w:val="22"/>
        </w:rPr>
        <w:t>.</w:t>
      </w:r>
    </w:p>
    <w:p w14:paraId="0ABAF4B4" w14:textId="7FEE5233" w:rsidR="001D5661" w:rsidRPr="002C68CD" w:rsidRDefault="00FB25D8" w:rsidP="00FB25D8">
      <w:pPr>
        <w:pStyle w:val="Paragrafoelenco"/>
        <w:numPr>
          <w:ilvl w:val="0"/>
          <w:numId w:val="3"/>
        </w:numPr>
        <w:spacing w:before="120" w:after="120"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2C68CD">
        <w:rPr>
          <w:rFonts w:asciiTheme="majorHAnsi" w:hAnsiTheme="majorHAnsi" w:cstheme="majorHAnsi"/>
          <w:b/>
          <w:sz w:val="22"/>
          <w:szCs w:val="22"/>
          <w:u w:val="single"/>
        </w:rPr>
        <w:t>Consistenza del parco veicolare</w:t>
      </w:r>
      <w:r w:rsidRPr="002C68CD">
        <w:rPr>
          <w:rFonts w:asciiTheme="majorHAnsi" w:hAnsiTheme="majorHAnsi" w:cstheme="majorHAnsi"/>
          <w:sz w:val="22"/>
          <w:szCs w:val="22"/>
        </w:rPr>
        <w:t>: proporzionale al carico dinamico cui sono sottoposti, durante l’esercizio, le opere d’arte in parola;</w:t>
      </w:r>
    </w:p>
    <w:p w14:paraId="75BF4D9F" w14:textId="20C2A808" w:rsidR="00A462D3" w:rsidRPr="002C68CD" w:rsidRDefault="009039D3" w:rsidP="00FB25D8">
      <w:pPr>
        <w:pStyle w:val="Paragrafoelenco"/>
        <w:numPr>
          <w:ilvl w:val="0"/>
          <w:numId w:val="3"/>
        </w:numPr>
        <w:spacing w:before="120" w:after="120"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2C68CD">
        <w:rPr>
          <w:rFonts w:asciiTheme="majorHAnsi" w:hAnsiTheme="majorHAnsi" w:cstheme="majorHAnsi"/>
          <w:noProof/>
          <w:sz w:val="22"/>
          <w:szCs w:val="22"/>
          <w:lang w:eastAsia="it-IT"/>
        </w:rPr>
        <w:drawing>
          <wp:anchor distT="0" distB="0" distL="114300" distR="114300" simplePos="0" relativeHeight="251658240" behindDoc="1" locked="0" layoutInCell="1" allowOverlap="1" wp14:anchorId="2AB8C62F" wp14:editId="198EEDCB">
            <wp:simplePos x="0" y="0"/>
            <wp:positionH relativeFrom="column">
              <wp:posOffset>3468370</wp:posOffset>
            </wp:positionH>
            <wp:positionV relativeFrom="paragraph">
              <wp:posOffset>302260</wp:posOffset>
            </wp:positionV>
            <wp:extent cx="2940050" cy="3430270"/>
            <wp:effectExtent l="133350" t="95250" r="146050" b="170180"/>
            <wp:wrapTight wrapText="bothSides">
              <wp:wrapPolygon edited="0">
                <wp:start x="-840" y="-600"/>
                <wp:lineTo x="-980" y="21592"/>
                <wp:lineTo x="-700" y="22552"/>
                <wp:lineTo x="22253" y="22552"/>
                <wp:lineTo x="22533" y="20872"/>
                <wp:lineTo x="22393" y="-600"/>
                <wp:lineTo x="-840" y="-60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3" t="15995" r="5184" b="13483"/>
                    <a:stretch/>
                  </pic:blipFill>
                  <pic:spPr bwMode="auto">
                    <a:xfrm>
                      <a:off x="0" y="0"/>
                      <a:ext cx="2940050" cy="34302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5D8" w:rsidRPr="002C68CD">
        <w:rPr>
          <w:rFonts w:asciiTheme="majorHAnsi" w:hAnsiTheme="majorHAnsi" w:cstheme="majorHAnsi"/>
          <w:b/>
          <w:sz w:val="22"/>
          <w:szCs w:val="22"/>
          <w:u w:val="single"/>
        </w:rPr>
        <w:t xml:space="preserve">Vulnerabilità rispetto </w:t>
      </w:r>
      <w:r w:rsidR="002D7523" w:rsidRPr="002C68CD">
        <w:rPr>
          <w:rFonts w:asciiTheme="majorHAnsi" w:hAnsiTheme="majorHAnsi" w:cstheme="majorHAnsi"/>
          <w:b/>
          <w:sz w:val="22"/>
          <w:szCs w:val="22"/>
          <w:u w:val="single"/>
        </w:rPr>
        <w:t>ad azioni</w:t>
      </w:r>
      <w:r w:rsidR="00FB25D8" w:rsidRPr="002C68CD">
        <w:rPr>
          <w:rFonts w:asciiTheme="majorHAnsi" w:hAnsiTheme="majorHAnsi" w:cstheme="majorHAnsi"/>
          <w:b/>
          <w:sz w:val="22"/>
          <w:szCs w:val="22"/>
          <w:u w:val="single"/>
        </w:rPr>
        <w:t xml:space="preserve"> naturali</w:t>
      </w:r>
      <w:r w:rsidR="00FB25D8" w:rsidRPr="002C68CD">
        <w:rPr>
          <w:rFonts w:asciiTheme="majorHAnsi" w:hAnsiTheme="majorHAnsi" w:cstheme="majorHAnsi"/>
          <w:sz w:val="22"/>
          <w:szCs w:val="22"/>
        </w:rPr>
        <w:t>: individuati in vulnerabilità ai sismi ed a fenomeni di dissesto idrogeologico.</w:t>
      </w:r>
    </w:p>
    <w:p w14:paraId="50B54FA6" w14:textId="77777777" w:rsidR="00FB25D8" w:rsidRPr="002C68CD" w:rsidRDefault="00FB25D8" w:rsidP="00FB25D8">
      <w:pPr>
        <w:pStyle w:val="Paragrafoelenco"/>
        <w:spacing w:before="120" w:after="120" w:line="300" w:lineRule="exact"/>
        <w:jc w:val="both"/>
        <w:rPr>
          <w:rFonts w:asciiTheme="majorHAnsi" w:hAnsiTheme="majorHAnsi" w:cstheme="majorHAnsi"/>
          <w:sz w:val="22"/>
          <w:szCs w:val="22"/>
        </w:rPr>
        <w:sectPr w:rsidR="00FB25D8" w:rsidRPr="002C68CD" w:rsidSect="002C68CD">
          <w:type w:val="continuous"/>
          <w:pgSz w:w="11900" w:h="16840"/>
          <w:pgMar w:top="720" w:right="843" w:bottom="720" w:left="993" w:header="708" w:footer="708" w:gutter="0"/>
          <w:cols w:space="708"/>
          <w:docGrid w:linePitch="326"/>
        </w:sectPr>
      </w:pPr>
    </w:p>
    <w:p w14:paraId="7085F0C2" w14:textId="0370FDBB" w:rsidR="002D7523" w:rsidRPr="002C68CD" w:rsidRDefault="002D7523" w:rsidP="002D7523">
      <w:pPr>
        <w:pStyle w:val="Titolo1"/>
        <w:numPr>
          <w:ilvl w:val="0"/>
          <w:numId w:val="9"/>
        </w:numPr>
        <w:spacing w:before="240"/>
        <w:ind w:left="714" w:hanging="357"/>
        <w:rPr>
          <w:color w:val="auto"/>
          <w:sz w:val="24"/>
        </w:rPr>
      </w:pPr>
      <w:r w:rsidRPr="002C68CD">
        <w:rPr>
          <w:color w:val="auto"/>
          <w:sz w:val="24"/>
        </w:rPr>
        <w:t>Consistenza della rete viaria</w:t>
      </w:r>
    </w:p>
    <w:p w14:paraId="511EF6CF" w14:textId="65300CE9" w:rsidR="009B0F06" w:rsidRPr="002C68CD" w:rsidRDefault="002D7523" w:rsidP="009B0F06">
      <w:pPr>
        <w:spacing w:before="120" w:after="120"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2C68CD">
        <w:rPr>
          <w:rFonts w:asciiTheme="majorHAnsi" w:hAnsiTheme="majorHAnsi" w:cstheme="majorHAnsi"/>
          <w:sz w:val="22"/>
          <w:szCs w:val="22"/>
        </w:rPr>
        <w:t xml:space="preserve">Sono stati acquisiti i dati che indicano </w:t>
      </w:r>
      <w:r w:rsidR="001407BB" w:rsidRPr="002C68CD">
        <w:rPr>
          <w:rFonts w:asciiTheme="majorHAnsi" w:hAnsiTheme="majorHAnsi" w:cstheme="majorHAnsi"/>
          <w:sz w:val="22"/>
          <w:szCs w:val="22"/>
        </w:rPr>
        <w:t>la consistenza della rete viaria in gestione alle province ed alle città metropolitane, secondo i database predisposti per altri decreti di riparto ed aggiornati alle ultime risultanze del piano d</w:t>
      </w:r>
      <w:r w:rsidR="002C68CD" w:rsidRPr="002C68CD">
        <w:rPr>
          <w:rFonts w:asciiTheme="majorHAnsi" w:hAnsiTheme="majorHAnsi" w:cstheme="majorHAnsi"/>
          <w:sz w:val="22"/>
          <w:szCs w:val="22"/>
        </w:rPr>
        <w:t>i</w:t>
      </w:r>
      <w:r w:rsidR="001407BB" w:rsidRPr="002C68CD">
        <w:rPr>
          <w:rFonts w:asciiTheme="majorHAnsi" w:hAnsiTheme="majorHAnsi" w:cstheme="majorHAnsi"/>
          <w:sz w:val="22"/>
          <w:szCs w:val="22"/>
        </w:rPr>
        <w:t xml:space="preserve"> rientro alla gestione centrale di alcune tratte precedentemente a gestione provinciale; i dati riportano l’estensione totale della rete e l’estensione ricadente in zona montana, dove si manifestano con più frequenza opere d’arte ad alta densità sulla rete, seppur generalmente di luce limitata.</w:t>
      </w:r>
      <w:r w:rsidR="009B0F06" w:rsidRPr="002C68C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F631C41" w14:textId="7F6C371C" w:rsidR="001407BB" w:rsidRPr="002C68CD" w:rsidRDefault="00120D1A" w:rsidP="009B0F06">
      <w:pPr>
        <w:spacing w:before="120" w:after="120"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2C68CD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050AB" wp14:editId="23854F4F">
                <wp:simplePos x="0" y="0"/>
                <wp:positionH relativeFrom="column">
                  <wp:posOffset>3520440</wp:posOffset>
                </wp:positionH>
                <wp:positionV relativeFrom="paragraph">
                  <wp:posOffset>588645</wp:posOffset>
                </wp:positionV>
                <wp:extent cx="1424940" cy="349250"/>
                <wp:effectExtent l="0" t="0" r="3810" b="0"/>
                <wp:wrapTight wrapText="bothSides">
                  <wp:wrapPolygon edited="0">
                    <wp:start x="0" y="0"/>
                    <wp:lineTo x="0" y="20029"/>
                    <wp:lineTo x="21369" y="20029"/>
                    <wp:lineTo x="21369" y="0"/>
                    <wp:lineTo x="0" y="0"/>
                  </wp:wrapPolygon>
                </wp:wrapTight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3492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4A4B8F" w14:textId="755D86F6" w:rsidR="009B0F06" w:rsidRPr="009039D3" w:rsidRDefault="009B0F06" w:rsidP="009B0F06">
                            <w:pPr>
                              <w:pStyle w:val="Didascalia"/>
                              <w:rPr>
                                <w:rFonts w:asciiTheme="majorHAnsi" w:hAnsiTheme="majorHAnsi" w:cstheme="majorHAnsi"/>
                                <w:b w:val="0"/>
                                <w:noProof/>
                                <w:color w:val="auto"/>
                                <w:sz w:val="20"/>
                              </w:rPr>
                            </w:pPr>
                            <w:r w:rsidRPr="009039D3">
                              <w:rPr>
                                <w:color w:val="auto"/>
                              </w:rPr>
                              <w:t xml:space="preserve">Figura </w:t>
                            </w:r>
                            <w:r w:rsidRPr="009039D3">
                              <w:rPr>
                                <w:color w:val="auto"/>
                                <w:sz w:val="20"/>
                              </w:rPr>
                              <w:fldChar w:fldCharType="begin"/>
                            </w:r>
                            <w:r w:rsidRPr="009039D3">
                              <w:rPr>
                                <w:color w:val="auto"/>
                                <w:sz w:val="20"/>
                              </w:rPr>
                              <w:instrText xml:space="preserve"> SEQ Figura \* ARABIC </w:instrText>
                            </w:r>
                            <w:r w:rsidRPr="009039D3">
                              <w:rPr>
                                <w:color w:val="auto"/>
                                <w:sz w:val="20"/>
                              </w:rPr>
                              <w:fldChar w:fldCharType="separate"/>
                            </w:r>
                            <w:r w:rsidR="009C6956">
                              <w:rPr>
                                <w:noProof/>
                                <w:color w:val="auto"/>
                                <w:sz w:val="20"/>
                              </w:rPr>
                              <w:t>1</w:t>
                            </w:r>
                            <w:r w:rsidRPr="009039D3">
                              <w:rPr>
                                <w:color w:val="auto"/>
                                <w:sz w:val="20"/>
                              </w:rPr>
                              <w:fldChar w:fldCharType="end"/>
                            </w:r>
                            <w:r w:rsidRPr="009039D3">
                              <w:rPr>
                                <w:b w:val="0"/>
                                <w:color w:val="auto"/>
                                <w:sz w:val="20"/>
                              </w:rPr>
                              <w:t xml:space="preserve"> Indice di consistenza della rete viaria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050A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77.2pt;margin-top:46.35pt;width:112.2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" stroked="f">
                <v:textbox inset="0,0,0,0">
                  <w:txbxContent>
                    <w:p w14:paraId="784A4B8F" w14:textId="755D86F6" w:rsidR="009B0F06" w:rsidRPr="009039D3" w:rsidRDefault="009B0F06" w:rsidP="009B0F06">
                      <w:pPr>
                        <w:pStyle w:val="Didascalia"/>
                        <w:rPr>
                          <w:rFonts w:asciiTheme="majorHAnsi" w:hAnsiTheme="majorHAnsi" w:cstheme="majorHAnsi"/>
                          <w:b w:val="0"/>
                          <w:noProof/>
                          <w:color w:val="auto"/>
                          <w:sz w:val="20"/>
                        </w:rPr>
                      </w:pPr>
                      <w:r w:rsidRPr="009039D3">
                        <w:rPr>
                          <w:color w:val="auto"/>
                        </w:rPr>
                        <w:t xml:space="preserve">Figura </w:t>
                      </w:r>
                      <w:r w:rsidRPr="009039D3">
                        <w:rPr>
                          <w:color w:val="auto"/>
                          <w:sz w:val="20"/>
                        </w:rPr>
                        <w:fldChar w:fldCharType="begin"/>
                      </w:r>
                      <w:r w:rsidRPr="009039D3">
                        <w:rPr>
                          <w:color w:val="auto"/>
                          <w:sz w:val="20"/>
                        </w:rPr>
                        <w:instrText xml:space="preserve"> SEQ Figura \* ARABIC </w:instrText>
                      </w:r>
                      <w:r w:rsidRPr="009039D3">
                        <w:rPr>
                          <w:color w:val="auto"/>
                          <w:sz w:val="20"/>
                        </w:rPr>
                        <w:fldChar w:fldCharType="separate"/>
                      </w:r>
                      <w:r w:rsidR="009C6956">
                        <w:rPr>
                          <w:noProof/>
                          <w:color w:val="auto"/>
                          <w:sz w:val="20"/>
                        </w:rPr>
                        <w:t>1</w:t>
                      </w:r>
                      <w:r w:rsidRPr="009039D3">
                        <w:rPr>
                          <w:color w:val="auto"/>
                          <w:sz w:val="20"/>
                        </w:rPr>
                        <w:fldChar w:fldCharType="end"/>
                      </w:r>
                      <w:r w:rsidRPr="009039D3">
                        <w:rPr>
                          <w:b w:val="0"/>
                          <w:color w:val="auto"/>
                          <w:sz w:val="20"/>
                        </w:rPr>
                        <w:t xml:space="preserve"> Indice di consistenza della rete viaria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407BB" w:rsidRPr="002C68CD">
        <w:rPr>
          <w:rFonts w:asciiTheme="majorHAnsi" w:hAnsiTheme="majorHAnsi" w:cstheme="majorHAnsi"/>
          <w:sz w:val="22"/>
          <w:szCs w:val="22"/>
        </w:rPr>
        <w:t xml:space="preserve">Per ognuna delle classi è stato calcolato un indice adimensionale, derivante dal rapporto tra estensione in gestione alla singola provincia ed estensione totale della rete secondaria provinciale; ognuna delle </w:t>
      </w:r>
      <w:proofErr w:type="gramStart"/>
      <w:r w:rsidR="001407BB" w:rsidRPr="002C68CD">
        <w:rPr>
          <w:rFonts w:asciiTheme="majorHAnsi" w:hAnsiTheme="majorHAnsi" w:cstheme="majorHAnsi"/>
          <w:sz w:val="22"/>
          <w:szCs w:val="22"/>
        </w:rPr>
        <w:t>due categoria</w:t>
      </w:r>
      <w:proofErr w:type="gramEnd"/>
      <w:r w:rsidR="001407BB" w:rsidRPr="002C68CD">
        <w:rPr>
          <w:rFonts w:asciiTheme="majorHAnsi" w:hAnsiTheme="majorHAnsi" w:cstheme="majorHAnsi"/>
          <w:sz w:val="22"/>
          <w:szCs w:val="22"/>
        </w:rPr>
        <w:t xml:space="preserve"> è stata quindi pesata con coefficienti proporzionali alla tipologia, ovvero attribuendo una percentuale dell’80% all’intera consistenza stradale e del 20% alla quota parte che si sviluppa in territorio montano.</w:t>
      </w:r>
      <w:r w:rsidR="009B0F06" w:rsidRPr="002C68C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0D18253" w14:textId="6B94A467" w:rsidR="00F4459D" w:rsidRPr="002C68CD" w:rsidRDefault="009B0F06" w:rsidP="00A462D3">
      <w:pPr>
        <w:pStyle w:val="Titolo1"/>
        <w:numPr>
          <w:ilvl w:val="0"/>
          <w:numId w:val="9"/>
        </w:numPr>
        <w:spacing w:before="240"/>
        <w:ind w:left="714" w:hanging="357"/>
        <w:rPr>
          <w:color w:val="auto"/>
          <w:sz w:val="24"/>
        </w:rPr>
      </w:pPr>
      <w:r w:rsidRPr="002C68CD">
        <w:rPr>
          <w:rFonts w:cstheme="majorHAnsi"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D53EA87" wp14:editId="1B8834B4">
            <wp:simplePos x="0" y="0"/>
            <wp:positionH relativeFrom="column">
              <wp:posOffset>3475355</wp:posOffset>
            </wp:positionH>
            <wp:positionV relativeFrom="paragraph">
              <wp:posOffset>95885</wp:posOffset>
            </wp:positionV>
            <wp:extent cx="2931160" cy="3491865"/>
            <wp:effectExtent l="133350" t="95250" r="154940" b="165735"/>
            <wp:wrapTight wrapText="bothSides">
              <wp:wrapPolygon edited="0">
                <wp:start x="-842" y="-589"/>
                <wp:lineTo x="-983" y="21565"/>
                <wp:lineTo x="-702" y="22507"/>
                <wp:lineTo x="22321" y="22507"/>
                <wp:lineTo x="22321" y="22272"/>
                <wp:lineTo x="22601" y="20504"/>
                <wp:lineTo x="22461" y="-589"/>
                <wp:lineTo x="-842" y="-589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7" t="16439" r="5184" b="12445"/>
                    <a:stretch/>
                  </pic:blipFill>
                  <pic:spPr bwMode="auto">
                    <a:xfrm>
                      <a:off x="0" y="0"/>
                      <a:ext cx="2931160" cy="34918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523" w:rsidRPr="002C68CD">
        <w:rPr>
          <w:color w:val="auto"/>
          <w:sz w:val="24"/>
        </w:rPr>
        <w:t>Consistenza del parco veicolare</w:t>
      </w:r>
    </w:p>
    <w:p w14:paraId="153ECC36" w14:textId="77777777" w:rsidR="009B0F06" w:rsidRPr="002C68CD" w:rsidRDefault="002D7523" w:rsidP="009B0F06">
      <w:pPr>
        <w:pStyle w:val="Paragrafoelenco"/>
        <w:spacing w:before="120" w:after="0" w:line="276" w:lineRule="auto"/>
        <w:ind w:left="0" w:hanging="11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2C68CD">
        <w:rPr>
          <w:rFonts w:asciiTheme="majorHAnsi" w:hAnsiTheme="majorHAnsi" w:cstheme="majorHAnsi"/>
          <w:sz w:val="22"/>
          <w:szCs w:val="22"/>
        </w:rPr>
        <w:t xml:space="preserve">Sono stati acquisiti i dati del parco circolante (fonte: incidenti stradali – Anno 2019, pubblicato il 23 luglio 2020 da ACI ed Istat e reperibile sul sito ACI), che riportano, per ogni provincia o città metropolitana, la consistenza del parco veicolare distinti per tipologia di mezzo; sono stati quindi divisi in tre categorie, e precisamente: veicoli leggeri (motocicli e motocarri), autovetture e veicoli pesanti (autobus, autocarri, motrici e rimorchi). </w:t>
      </w:r>
    </w:p>
    <w:p w14:paraId="0097D70F" w14:textId="4073E7BF" w:rsidR="002D7523" w:rsidRPr="002C68CD" w:rsidRDefault="009B0F06" w:rsidP="009B0F06">
      <w:pPr>
        <w:pStyle w:val="Paragrafoelenco"/>
        <w:spacing w:before="120" w:after="0" w:line="276" w:lineRule="auto"/>
        <w:ind w:left="0" w:hanging="11"/>
        <w:contextualSpacing w:val="0"/>
        <w:jc w:val="both"/>
        <w:rPr>
          <w:rFonts w:asciiTheme="majorHAnsi" w:hAnsiTheme="majorHAnsi" w:cstheme="majorHAnsi"/>
          <w:sz w:val="22"/>
          <w:szCs w:val="22"/>
        </w:rPr>
      </w:pPr>
      <w:r w:rsidRPr="002C68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8B552" wp14:editId="67C664E9">
                <wp:simplePos x="0" y="0"/>
                <wp:positionH relativeFrom="column">
                  <wp:posOffset>3533775</wp:posOffset>
                </wp:positionH>
                <wp:positionV relativeFrom="paragraph">
                  <wp:posOffset>1131570</wp:posOffset>
                </wp:positionV>
                <wp:extent cx="1413510" cy="301625"/>
                <wp:effectExtent l="0" t="0" r="0" b="3175"/>
                <wp:wrapTight wrapText="bothSides">
                  <wp:wrapPolygon edited="0">
                    <wp:start x="0" y="0"/>
                    <wp:lineTo x="0" y="20463"/>
                    <wp:lineTo x="21251" y="20463"/>
                    <wp:lineTo x="21251" y="0"/>
                    <wp:lineTo x="0" y="0"/>
                  </wp:wrapPolygon>
                </wp:wrapTight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16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F01714" w14:textId="1C227B23" w:rsidR="009B0F06" w:rsidRPr="009039D3" w:rsidRDefault="009B0F06" w:rsidP="009B0F06">
                            <w:pPr>
                              <w:pStyle w:val="Didascalia"/>
                              <w:rPr>
                                <w:rFonts w:cstheme="majorHAnsi"/>
                                <w:color w:val="auto"/>
                                <w:sz w:val="24"/>
                                <w:szCs w:val="22"/>
                              </w:rPr>
                            </w:pPr>
                            <w:r w:rsidRPr="009039D3">
                              <w:rPr>
                                <w:color w:val="auto"/>
                                <w:sz w:val="20"/>
                              </w:rPr>
                              <w:t xml:space="preserve">Figura </w:t>
                            </w:r>
                            <w:r w:rsidRPr="009039D3">
                              <w:rPr>
                                <w:color w:val="auto"/>
                                <w:sz w:val="20"/>
                              </w:rPr>
                              <w:fldChar w:fldCharType="begin"/>
                            </w:r>
                            <w:r w:rsidRPr="009039D3">
                              <w:rPr>
                                <w:color w:val="auto"/>
                                <w:sz w:val="20"/>
                              </w:rPr>
                              <w:instrText xml:space="preserve"> SEQ Figura \* ARABIC </w:instrText>
                            </w:r>
                            <w:r w:rsidRPr="009039D3">
                              <w:rPr>
                                <w:color w:val="auto"/>
                                <w:sz w:val="20"/>
                              </w:rPr>
                              <w:fldChar w:fldCharType="separate"/>
                            </w:r>
                            <w:r w:rsidR="009C6956">
                              <w:rPr>
                                <w:noProof/>
                                <w:color w:val="auto"/>
                                <w:sz w:val="20"/>
                              </w:rPr>
                              <w:t>2</w:t>
                            </w:r>
                            <w:r w:rsidRPr="009039D3">
                              <w:rPr>
                                <w:color w:val="auto"/>
                                <w:sz w:val="20"/>
                              </w:rPr>
                              <w:fldChar w:fldCharType="end"/>
                            </w:r>
                            <w:r w:rsidRPr="009039D3">
                              <w:rPr>
                                <w:b w:val="0"/>
                                <w:color w:val="auto"/>
                                <w:sz w:val="20"/>
                              </w:rPr>
                              <w:t xml:space="preserve"> Indice di consistenza del parco veicolare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8B552" id="Casella di testo 4" o:spid="_x0000_s1027" type="#_x0000_t202" style="position:absolute;left:0;text-align:left;margin-left:278.25pt;margin-top:89.1pt;width:111.3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" stroked="f">
                <v:textbox inset="0,0,0,0">
                  <w:txbxContent>
                    <w:p w14:paraId="4CF01714" w14:textId="1C227B23" w:rsidR="009B0F06" w:rsidRPr="009039D3" w:rsidRDefault="009B0F06" w:rsidP="009B0F06">
                      <w:pPr>
                        <w:pStyle w:val="Didascalia"/>
                        <w:rPr>
                          <w:rFonts w:cstheme="majorHAnsi"/>
                          <w:color w:val="auto"/>
                          <w:sz w:val="24"/>
                          <w:szCs w:val="22"/>
                        </w:rPr>
                      </w:pPr>
                      <w:r w:rsidRPr="009039D3">
                        <w:rPr>
                          <w:color w:val="auto"/>
                          <w:sz w:val="20"/>
                        </w:rPr>
                        <w:t xml:space="preserve">Figura </w:t>
                      </w:r>
                      <w:r w:rsidRPr="009039D3">
                        <w:rPr>
                          <w:color w:val="auto"/>
                          <w:sz w:val="20"/>
                        </w:rPr>
                        <w:fldChar w:fldCharType="begin"/>
                      </w:r>
                      <w:r w:rsidRPr="009039D3">
                        <w:rPr>
                          <w:color w:val="auto"/>
                          <w:sz w:val="20"/>
                        </w:rPr>
                        <w:instrText xml:space="preserve"> SEQ Figura \* ARABIC </w:instrText>
                      </w:r>
                      <w:r w:rsidRPr="009039D3">
                        <w:rPr>
                          <w:color w:val="auto"/>
                          <w:sz w:val="20"/>
                        </w:rPr>
                        <w:fldChar w:fldCharType="separate"/>
                      </w:r>
                      <w:r w:rsidR="009C6956">
                        <w:rPr>
                          <w:noProof/>
                          <w:color w:val="auto"/>
                          <w:sz w:val="20"/>
                        </w:rPr>
                        <w:t>2</w:t>
                      </w:r>
                      <w:r w:rsidRPr="009039D3">
                        <w:rPr>
                          <w:color w:val="auto"/>
                          <w:sz w:val="20"/>
                        </w:rPr>
                        <w:fldChar w:fldCharType="end"/>
                      </w:r>
                      <w:r w:rsidRPr="009039D3">
                        <w:rPr>
                          <w:b w:val="0"/>
                          <w:color w:val="auto"/>
                          <w:sz w:val="20"/>
                        </w:rPr>
                        <w:t xml:space="preserve"> Indice di consistenza del parco veicolare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D7523" w:rsidRPr="002C68CD">
        <w:rPr>
          <w:rFonts w:asciiTheme="majorHAnsi" w:hAnsiTheme="majorHAnsi" w:cstheme="majorHAnsi"/>
          <w:sz w:val="22"/>
          <w:szCs w:val="22"/>
        </w:rPr>
        <w:t>Per ognuna delle tre classi è stato calcolato un indice adimensionale, derivante dal rapporto tra numero di mezzi della provincia in esame e numero totale di mezzi circolanti per categoria; ogni categoria è stata in un secondo momento pesata con coefficienti proporzionali alla tipologia di mezzi, ovvero attribuendo una percentuale del 10% ai veicoli leggeri, del 30% alle autovetture e del 60% ai veicoli pesanti.</w:t>
      </w:r>
    </w:p>
    <w:p w14:paraId="35579FB4" w14:textId="77777777" w:rsidR="002D7523" w:rsidRPr="002C68CD" w:rsidRDefault="002D7523" w:rsidP="00F4459D">
      <w:pP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C277158" w14:textId="630042B8" w:rsidR="00F4459D" w:rsidRPr="002C68CD" w:rsidRDefault="002C68CD" w:rsidP="00A462D3">
      <w:pPr>
        <w:pStyle w:val="Titolo1"/>
        <w:numPr>
          <w:ilvl w:val="0"/>
          <w:numId w:val="9"/>
        </w:numPr>
        <w:spacing w:before="240"/>
        <w:ind w:left="714" w:hanging="357"/>
        <w:rPr>
          <w:color w:val="auto"/>
          <w:sz w:val="24"/>
        </w:rPr>
      </w:pPr>
      <w:r w:rsidRPr="002C68CD">
        <w:rPr>
          <w:color w:val="auto"/>
          <w:sz w:val="24"/>
        </w:rPr>
        <w:lastRenderedPageBreak/>
        <w:t>Vulnerabilità</w:t>
      </w:r>
      <w:r w:rsidR="009B0F06" w:rsidRPr="002C68CD">
        <w:rPr>
          <w:color w:val="auto"/>
          <w:sz w:val="24"/>
        </w:rPr>
        <w:t xml:space="preserve"> </w:t>
      </w:r>
      <w:r w:rsidR="00120D1A">
        <w:rPr>
          <w:color w:val="auto"/>
          <w:sz w:val="24"/>
        </w:rPr>
        <w:t xml:space="preserve">territoriale </w:t>
      </w:r>
      <w:r w:rsidR="009B0F06" w:rsidRPr="002C68CD">
        <w:rPr>
          <w:color w:val="auto"/>
          <w:sz w:val="24"/>
        </w:rPr>
        <w:t>rispetto ad azioni naturali</w:t>
      </w:r>
    </w:p>
    <w:p w14:paraId="103429C5" w14:textId="42452A74" w:rsidR="00F4459D" w:rsidRDefault="009B0F06" w:rsidP="00F4459D">
      <w:pP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C68CD">
        <w:rPr>
          <w:rFonts w:asciiTheme="majorHAnsi" w:hAnsiTheme="majorHAnsi" w:cstheme="majorHAnsi"/>
          <w:sz w:val="22"/>
          <w:szCs w:val="22"/>
        </w:rPr>
        <w:t xml:space="preserve">Le azioni naturali considerate sono proporzionali alla vulnerabilità dei singoli territori provinciali rispetto a fenomeni sismici e rispetto a fenomeni di dissesto idrogeologico, a loro volta divisibili in </w:t>
      </w:r>
      <w:r w:rsidR="002C68CD" w:rsidRPr="002C68CD">
        <w:rPr>
          <w:rFonts w:asciiTheme="majorHAnsi" w:hAnsiTheme="majorHAnsi" w:cstheme="majorHAnsi"/>
          <w:sz w:val="22"/>
          <w:szCs w:val="22"/>
        </w:rPr>
        <w:t xml:space="preserve">vulnerabilità rispetto a fenomeni franosi e fenomeni idraulici; i dati sono stati acquisiti dal sito </w:t>
      </w:r>
      <w:r w:rsidR="002C68CD" w:rsidRPr="002C68CD">
        <w:rPr>
          <w:rFonts w:asciiTheme="majorHAnsi" w:hAnsiTheme="majorHAnsi" w:cstheme="majorHAnsi"/>
          <w:sz w:val="22"/>
          <w:szCs w:val="22"/>
          <w:u w:val="single"/>
        </w:rPr>
        <w:t>dati.istat.it</w:t>
      </w:r>
      <w:r w:rsidR="002C68CD" w:rsidRPr="002C68CD">
        <w:rPr>
          <w:rFonts w:asciiTheme="majorHAnsi" w:hAnsiTheme="majorHAnsi" w:cstheme="majorHAnsi"/>
          <w:sz w:val="22"/>
          <w:szCs w:val="22"/>
        </w:rPr>
        <w:t>, aggiornato al 2018</w:t>
      </w:r>
      <w:r w:rsidR="002C68CD">
        <w:rPr>
          <w:rFonts w:asciiTheme="majorHAnsi" w:hAnsiTheme="majorHAnsi" w:cstheme="majorHAnsi"/>
          <w:sz w:val="22"/>
          <w:szCs w:val="22"/>
        </w:rPr>
        <w:t>, corretto per le fusioni e incorporazioni di comuni avvenute negli anni 2019 e 2020.</w:t>
      </w:r>
    </w:p>
    <w:p w14:paraId="5EB4343E" w14:textId="68ECB32D" w:rsidR="002C68CD" w:rsidRDefault="009039D3" w:rsidP="00F4459D">
      <w:pP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eastAsia="it-IT"/>
        </w:rPr>
        <w:drawing>
          <wp:anchor distT="0" distB="0" distL="114300" distR="114300" simplePos="0" relativeHeight="251664384" behindDoc="1" locked="0" layoutInCell="1" allowOverlap="1" wp14:anchorId="4C405D18" wp14:editId="5BB0B51D">
            <wp:simplePos x="0" y="0"/>
            <wp:positionH relativeFrom="column">
              <wp:posOffset>3322955</wp:posOffset>
            </wp:positionH>
            <wp:positionV relativeFrom="paragraph">
              <wp:posOffset>565150</wp:posOffset>
            </wp:positionV>
            <wp:extent cx="3054985" cy="3563620"/>
            <wp:effectExtent l="133350" t="114300" r="145415" b="170180"/>
            <wp:wrapTight wrapText="bothSides">
              <wp:wrapPolygon edited="0">
                <wp:start x="-539" y="-693"/>
                <wp:lineTo x="-943" y="-462"/>
                <wp:lineTo x="-943" y="21592"/>
                <wp:lineTo x="-673" y="22516"/>
                <wp:lineTo x="22359" y="22516"/>
                <wp:lineTo x="22493" y="1386"/>
                <wp:lineTo x="22089" y="-346"/>
                <wp:lineTo x="22089" y="-693"/>
                <wp:lineTo x="-539" y="-693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8" t="15752" r="4941" b="14690"/>
                    <a:stretch/>
                  </pic:blipFill>
                  <pic:spPr bwMode="auto">
                    <a:xfrm>
                      <a:off x="0" y="0"/>
                      <a:ext cx="3054985" cy="3563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8CD">
        <w:rPr>
          <w:rFonts w:asciiTheme="majorHAnsi" w:hAnsiTheme="majorHAnsi" w:cstheme="majorHAnsi"/>
          <w:sz w:val="22"/>
          <w:szCs w:val="22"/>
        </w:rPr>
        <w:t xml:space="preserve">L’azione sismica è stata calcolata a partire dai dati di accelerazione massima e minima </w:t>
      </w:r>
      <w:r>
        <w:rPr>
          <w:rFonts w:asciiTheme="majorHAnsi" w:hAnsiTheme="majorHAnsi" w:cstheme="majorHAnsi"/>
          <w:sz w:val="22"/>
          <w:szCs w:val="22"/>
        </w:rPr>
        <w:t>di</w:t>
      </w:r>
      <w:r w:rsidR="002C68CD">
        <w:rPr>
          <w:rFonts w:asciiTheme="majorHAnsi" w:hAnsiTheme="majorHAnsi" w:cstheme="majorHAnsi"/>
          <w:sz w:val="22"/>
          <w:szCs w:val="22"/>
        </w:rPr>
        <w:t xml:space="preserve"> ogni comune della pro</w:t>
      </w:r>
      <w:r>
        <w:rPr>
          <w:rFonts w:asciiTheme="majorHAnsi" w:hAnsiTheme="majorHAnsi" w:cstheme="majorHAnsi"/>
          <w:sz w:val="22"/>
          <w:szCs w:val="22"/>
        </w:rPr>
        <w:t>vincia considerata (</w:t>
      </w:r>
      <w:r w:rsidR="002C68CD">
        <w:rPr>
          <w:rFonts w:asciiTheme="majorHAnsi" w:hAnsiTheme="majorHAnsi" w:cstheme="majorHAnsi"/>
          <w:sz w:val="22"/>
          <w:szCs w:val="22"/>
        </w:rPr>
        <w:t>secondo il reticolo sismico derivante dalle vigenti Norme Tecniche per le Costruzioni</w:t>
      </w:r>
      <w:r>
        <w:rPr>
          <w:rFonts w:asciiTheme="majorHAnsi" w:hAnsiTheme="majorHAnsi" w:cstheme="majorHAnsi"/>
          <w:sz w:val="22"/>
          <w:szCs w:val="22"/>
        </w:rPr>
        <w:t>)</w:t>
      </w:r>
      <w:r w:rsidR="002C68CD">
        <w:rPr>
          <w:rFonts w:asciiTheme="majorHAnsi" w:hAnsiTheme="majorHAnsi" w:cstheme="majorHAnsi"/>
          <w:sz w:val="22"/>
          <w:szCs w:val="22"/>
        </w:rPr>
        <w:t>, pesat</w:t>
      </w:r>
      <w:r>
        <w:rPr>
          <w:rFonts w:asciiTheme="majorHAnsi" w:hAnsiTheme="majorHAnsi" w:cstheme="majorHAnsi"/>
          <w:sz w:val="22"/>
          <w:szCs w:val="22"/>
        </w:rPr>
        <w:t>i sul</w:t>
      </w:r>
      <w:r w:rsidR="002C68CD">
        <w:rPr>
          <w:rFonts w:asciiTheme="majorHAnsi" w:hAnsiTheme="majorHAnsi" w:cstheme="majorHAnsi"/>
          <w:sz w:val="22"/>
          <w:szCs w:val="22"/>
        </w:rPr>
        <w:t xml:space="preserve">la superficie di ogni comune; la suscettibilità a </w:t>
      </w:r>
      <w:r>
        <w:rPr>
          <w:rFonts w:asciiTheme="majorHAnsi" w:hAnsiTheme="majorHAnsi" w:cstheme="majorHAnsi"/>
          <w:sz w:val="22"/>
          <w:szCs w:val="22"/>
        </w:rPr>
        <w:t xml:space="preserve">     </w:t>
      </w:r>
      <w:r w:rsidR="002C68CD">
        <w:rPr>
          <w:rFonts w:asciiTheme="majorHAnsi" w:hAnsiTheme="majorHAnsi" w:cstheme="majorHAnsi"/>
          <w:sz w:val="22"/>
          <w:szCs w:val="22"/>
        </w:rPr>
        <w:t>fenomeni franosi ed alluvionali è stata calcolata a partire dalle superfici a rischio frana elevato e molto elevato (R3 ed R4) e quelle a rischio alluvioni elevato (R3), così come individuato dai piani di assetto idrogeologico e catalogati dall’ISPRA.</w:t>
      </w:r>
    </w:p>
    <w:p w14:paraId="5A523B37" w14:textId="41402E2C" w:rsidR="002C68CD" w:rsidRDefault="002C68CD" w:rsidP="00F4459D">
      <w:pP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Una volta associata ad ogni provincia o città metropolitana una accelerazione al suolo massima e minima, mediata sul territorio di competenza, e la percentuale di aree a rischio elevato o molto elevato, sono stati calcolati indici adimensionali, derivanti dal rapporto tra il parametro considerato nella singola provincia e quello totale sull’intero territorio nazionale di riferimento.</w:t>
      </w:r>
    </w:p>
    <w:p w14:paraId="3DA8AADF" w14:textId="665F42D4" w:rsidR="002C68CD" w:rsidRPr="002C68CD" w:rsidRDefault="009039D3" w:rsidP="00F4459D">
      <w:pP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eastAsia="it-IT"/>
        </w:rPr>
        <w:drawing>
          <wp:anchor distT="0" distB="0" distL="114300" distR="114300" simplePos="0" relativeHeight="251667456" behindDoc="1" locked="0" layoutInCell="1" allowOverlap="1" wp14:anchorId="40C7CD80" wp14:editId="34D70F11">
            <wp:simplePos x="0" y="0"/>
            <wp:positionH relativeFrom="column">
              <wp:posOffset>3240405</wp:posOffset>
            </wp:positionH>
            <wp:positionV relativeFrom="paragraph">
              <wp:posOffset>1466850</wp:posOffset>
            </wp:positionV>
            <wp:extent cx="3191510" cy="3619500"/>
            <wp:effectExtent l="171450" t="171450" r="389890" b="361950"/>
            <wp:wrapTight wrapText="bothSides">
              <wp:wrapPolygon edited="0">
                <wp:start x="1418" y="-1023"/>
                <wp:lineTo x="-1160" y="-796"/>
                <wp:lineTo x="-1160" y="22055"/>
                <wp:lineTo x="-516" y="22851"/>
                <wp:lineTo x="645" y="23419"/>
                <wp:lineTo x="774" y="23646"/>
                <wp:lineTo x="22176" y="23646"/>
                <wp:lineTo x="22305" y="23419"/>
                <wp:lineTo x="23336" y="22851"/>
                <wp:lineTo x="23981" y="21145"/>
                <wp:lineTo x="24110" y="455"/>
                <wp:lineTo x="22305" y="-796"/>
                <wp:lineTo x="21531" y="-1023"/>
                <wp:lineTo x="1418" y="-1023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ot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2" t="15752" r="5439" b="15398"/>
                    <a:stretch/>
                  </pic:blipFill>
                  <pic:spPr bwMode="auto">
                    <a:xfrm>
                      <a:off x="0" y="0"/>
                      <a:ext cx="3191510" cy="361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FB42F3" wp14:editId="02B5B1EF">
                <wp:simplePos x="0" y="0"/>
                <wp:positionH relativeFrom="column">
                  <wp:posOffset>3320415</wp:posOffset>
                </wp:positionH>
                <wp:positionV relativeFrom="paragraph">
                  <wp:posOffset>300355</wp:posOffset>
                </wp:positionV>
                <wp:extent cx="1470025" cy="635"/>
                <wp:effectExtent l="0" t="0" r="0" b="0"/>
                <wp:wrapTight wrapText="bothSides">
                  <wp:wrapPolygon edited="0">
                    <wp:start x="0" y="0"/>
                    <wp:lineTo x="0" y="20341"/>
                    <wp:lineTo x="21273" y="20341"/>
                    <wp:lineTo x="21273" y="0"/>
                    <wp:lineTo x="0" y="0"/>
                  </wp:wrapPolygon>
                </wp:wrapTight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0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B6DCC3" w14:textId="5D7A72BE" w:rsidR="00120D1A" w:rsidRPr="009039D3" w:rsidRDefault="00120D1A" w:rsidP="00120D1A">
                            <w:pPr>
                              <w:pStyle w:val="Didascalia"/>
                              <w:rPr>
                                <w:rFonts w:asciiTheme="majorHAnsi" w:hAnsiTheme="majorHAnsi" w:cstheme="majorHAnsi"/>
                                <w:b w:val="0"/>
                                <w:noProof/>
                                <w:color w:val="auto"/>
                                <w:sz w:val="20"/>
                              </w:rPr>
                            </w:pPr>
                            <w:r w:rsidRPr="009039D3">
                              <w:rPr>
                                <w:color w:val="auto"/>
                                <w:sz w:val="20"/>
                              </w:rPr>
                              <w:t xml:space="preserve">Figura </w:t>
                            </w:r>
                            <w:r w:rsidRPr="009039D3">
                              <w:rPr>
                                <w:color w:val="auto"/>
                                <w:sz w:val="20"/>
                              </w:rPr>
                              <w:fldChar w:fldCharType="begin"/>
                            </w:r>
                            <w:r w:rsidRPr="009039D3">
                              <w:rPr>
                                <w:color w:val="auto"/>
                                <w:sz w:val="20"/>
                              </w:rPr>
                              <w:instrText xml:space="preserve"> SEQ Figura \* ARABIC </w:instrText>
                            </w:r>
                            <w:r w:rsidRPr="009039D3">
                              <w:rPr>
                                <w:color w:val="auto"/>
                                <w:sz w:val="20"/>
                              </w:rPr>
                              <w:fldChar w:fldCharType="separate"/>
                            </w:r>
                            <w:r w:rsidR="009C6956">
                              <w:rPr>
                                <w:noProof/>
                                <w:color w:val="auto"/>
                                <w:sz w:val="20"/>
                              </w:rPr>
                              <w:t>3</w:t>
                            </w:r>
                            <w:r w:rsidRPr="009039D3">
                              <w:rPr>
                                <w:color w:val="auto"/>
                                <w:sz w:val="20"/>
                              </w:rPr>
                              <w:fldChar w:fldCharType="end"/>
                            </w:r>
                            <w:r w:rsidRPr="009039D3">
                              <w:rPr>
                                <w:b w:val="0"/>
                                <w:color w:val="auto"/>
                                <w:sz w:val="20"/>
                              </w:rPr>
                              <w:t xml:space="preserve"> Indice di vulnerabilità fenomeni naturali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FB42F3" id="Casella di testo 6" o:spid="_x0000_s1028" type="#_x0000_t202" style="position:absolute;left:0;text-align:left;margin-left:261.45pt;margin-top:23.65pt;width:115.75pt;height: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" stroked="f">
                <v:textbox style="mso-fit-shape-to-text:t" inset="0,0,0,0">
                  <w:txbxContent>
                    <w:p w14:paraId="1AB6DCC3" w14:textId="5D7A72BE" w:rsidR="00120D1A" w:rsidRPr="009039D3" w:rsidRDefault="00120D1A" w:rsidP="00120D1A">
                      <w:pPr>
                        <w:pStyle w:val="Didascalia"/>
                        <w:rPr>
                          <w:rFonts w:asciiTheme="majorHAnsi" w:hAnsiTheme="majorHAnsi" w:cstheme="majorHAnsi"/>
                          <w:b w:val="0"/>
                          <w:noProof/>
                          <w:color w:val="auto"/>
                          <w:sz w:val="20"/>
                        </w:rPr>
                      </w:pPr>
                      <w:r w:rsidRPr="009039D3">
                        <w:rPr>
                          <w:color w:val="auto"/>
                          <w:sz w:val="20"/>
                        </w:rPr>
                        <w:t xml:space="preserve">Figura </w:t>
                      </w:r>
                      <w:r w:rsidRPr="009039D3">
                        <w:rPr>
                          <w:color w:val="auto"/>
                          <w:sz w:val="20"/>
                        </w:rPr>
                        <w:fldChar w:fldCharType="begin"/>
                      </w:r>
                      <w:r w:rsidRPr="009039D3">
                        <w:rPr>
                          <w:color w:val="auto"/>
                          <w:sz w:val="20"/>
                        </w:rPr>
                        <w:instrText xml:space="preserve"> SEQ Figura \* ARABIC </w:instrText>
                      </w:r>
                      <w:r w:rsidRPr="009039D3">
                        <w:rPr>
                          <w:color w:val="auto"/>
                          <w:sz w:val="20"/>
                        </w:rPr>
                        <w:fldChar w:fldCharType="separate"/>
                      </w:r>
                      <w:r w:rsidR="009C6956">
                        <w:rPr>
                          <w:noProof/>
                          <w:color w:val="auto"/>
                          <w:sz w:val="20"/>
                        </w:rPr>
                        <w:t>3</w:t>
                      </w:r>
                      <w:r w:rsidRPr="009039D3">
                        <w:rPr>
                          <w:color w:val="auto"/>
                          <w:sz w:val="20"/>
                        </w:rPr>
                        <w:fldChar w:fldCharType="end"/>
                      </w:r>
                      <w:r w:rsidRPr="009039D3">
                        <w:rPr>
                          <w:b w:val="0"/>
                          <w:color w:val="auto"/>
                          <w:sz w:val="20"/>
                        </w:rPr>
                        <w:t xml:space="preserve"> Indice di vulnerabilità fenomeni naturali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C68CD">
        <w:rPr>
          <w:rFonts w:asciiTheme="majorHAnsi" w:hAnsiTheme="majorHAnsi" w:cstheme="majorHAnsi"/>
          <w:sz w:val="22"/>
          <w:szCs w:val="22"/>
        </w:rPr>
        <w:t xml:space="preserve">I coefficienti così ottenuti sono stati infine pesati attribuendo un peso del 40% all’accelerazione media massima al suolo, del 20% all’accelerazione media minima al suolo (i due dati, oltre ad indicare l’accelerazione massima, individuano la variabilità </w:t>
      </w:r>
      <w:r w:rsidR="00120D1A">
        <w:rPr>
          <w:rFonts w:asciiTheme="majorHAnsi" w:hAnsiTheme="majorHAnsi" w:cstheme="majorHAnsi"/>
          <w:sz w:val="22"/>
          <w:szCs w:val="22"/>
        </w:rPr>
        <w:t xml:space="preserve">del fenomeno </w:t>
      </w:r>
      <w:r w:rsidR="002C68CD">
        <w:rPr>
          <w:rFonts w:asciiTheme="majorHAnsi" w:hAnsiTheme="majorHAnsi" w:cstheme="majorHAnsi"/>
          <w:sz w:val="22"/>
          <w:szCs w:val="22"/>
        </w:rPr>
        <w:t>sul territorio provinciale)</w:t>
      </w:r>
      <w:r w:rsidR="00120D1A">
        <w:rPr>
          <w:rFonts w:asciiTheme="majorHAnsi" w:hAnsiTheme="majorHAnsi" w:cstheme="majorHAnsi"/>
          <w:sz w:val="22"/>
          <w:szCs w:val="22"/>
        </w:rPr>
        <w:t>, del 20% alle aree a rischio frana elevato e molto elevato e del 20% alle aree a rischio alluvioni elevato.</w:t>
      </w:r>
    </w:p>
    <w:p w14:paraId="1897ECB7" w14:textId="74EF38DA" w:rsidR="00F4459D" w:rsidRPr="002C68CD" w:rsidRDefault="00120D1A" w:rsidP="00A462D3">
      <w:pPr>
        <w:pStyle w:val="Titolo1"/>
        <w:numPr>
          <w:ilvl w:val="0"/>
          <w:numId w:val="9"/>
        </w:numPr>
        <w:spacing w:before="240"/>
        <w:ind w:left="714" w:hanging="357"/>
        <w:rPr>
          <w:color w:val="auto"/>
          <w:sz w:val="24"/>
        </w:rPr>
      </w:pPr>
      <w:r>
        <w:rPr>
          <w:color w:val="auto"/>
          <w:sz w:val="24"/>
        </w:rPr>
        <w:t>Indicatore di riparto finale</w:t>
      </w:r>
    </w:p>
    <w:p w14:paraId="30737BAE" w14:textId="4726D410" w:rsidR="00904EC3" w:rsidRDefault="00120D1A" w:rsidP="00F4459D">
      <w:pP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L’indicatore di riparto finale è stato infine ottenuto pesando i tre coefficienti sopra rappresentati come riportato in tabella.</w:t>
      </w:r>
    </w:p>
    <w:tbl>
      <w:tblPr>
        <w:tblStyle w:val="Sfondochiaro"/>
        <w:tblW w:w="0" w:type="auto"/>
        <w:tblInd w:w="250" w:type="dxa"/>
        <w:tblLook w:val="06A0" w:firstRow="1" w:lastRow="0" w:firstColumn="1" w:lastColumn="0" w:noHBand="1" w:noVBand="1"/>
      </w:tblPr>
      <w:tblGrid>
        <w:gridCol w:w="3227"/>
        <w:gridCol w:w="992"/>
      </w:tblGrid>
      <w:tr w:rsidR="00120D1A" w14:paraId="6460BE7D" w14:textId="77777777" w:rsidTr="00903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4D8E84E" w14:textId="61FEB49C" w:rsidR="00120D1A" w:rsidRPr="009039D3" w:rsidRDefault="00120D1A" w:rsidP="00120D1A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039D3">
              <w:rPr>
                <w:rFonts w:asciiTheme="majorHAnsi" w:hAnsiTheme="majorHAnsi" w:cstheme="majorHAnsi"/>
                <w:sz w:val="22"/>
                <w:szCs w:val="22"/>
              </w:rPr>
              <w:t>INDICE</w:t>
            </w:r>
          </w:p>
        </w:tc>
        <w:tc>
          <w:tcPr>
            <w:tcW w:w="992" w:type="dxa"/>
          </w:tcPr>
          <w:p w14:paraId="6054B89F" w14:textId="61C80628" w:rsidR="00120D1A" w:rsidRPr="009039D3" w:rsidRDefault="009039D3" w:rsidP="00120D1A">
            <w:pPr>
              <w:spacing w:before="120"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9039D3">
              <w:rPr>
                <w:rFonts w:asciiTheme="majorHAnsi" w:hAnsiTheme="majorHAnsi" w:cstheme="majorHAnsi"/>
                <w:sz w:val="22"/>
                <w:szCs w:val="22"/>
              </w:rPr>
              <w:t>PESO</w:t>
            </w:r>
          </w:p>
        </w:tc>
      </w:tr>
      <w:tr w:rsidR="00120D1A" w14:paraId="19A2E9B7" w14:textId="77777777" w:rsidTr="00903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E78A955" w14:textId="48DBC3E6" w:rsidR="00120D1A" w:rsidRPr="009039D3" w:rsidRDefault="00120D1A" w:rsidP="00F4459D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b w:val="0"/>
                <w:i/>
                <w:sz w:val="22"/>
                <w:szCs w:val="22"/>
              </w:rPr>
            </w:pPr>
            <w:r w:rsidRPr="009039D3">
              <w:rPr>
                <w:rFonts w:asciiTheme="majorHAnsi" w:hAnsiTheme="majorHAnsi" w:cstheme="majorHAnsi"/>
                <w:b w:val="0"/>
                <w:i/>
                <w:sz w:val="22"/>
                <w:szCs w:val="22"/>
              </w:rPr>
              <w:t>Consistenza della rete viaria</w:t>
            </w:r>
          </w:p>
        </w:tc>
        <w:tc>
          <w:tcPr>
            <w:tcW w:w="992" w:type="dxa"/>
          </w:tcPr>
          <w:p w14:paraId="26051F9C" w14:textId="632C9884" w:rsidR="00120D1A" w:rsidRPr="009039D3" w:rsidRDefault="00120D1A" w:rsidP="009039D3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039D3">
              <w:rPr>
                <w:rFonts w:asciiTheme="majorHAnsi" w:hAnsiTheme="majorHAnsi" w:cstheme="majorHAnsi"/>
                <w:b/>
                <w:sz w:val="22"/>
                <w:szCs w:val="22"/>
              </w:rPr>
              <w:t>25%</w:t>
            </w:r>
          </w:p>
        </w:tc>
      </w:tr>
      <w:tr w:rsidR="00120D1A" w14:paraId="320D2D03" w14:textId="77777777" w:rsidTr="00903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9ECCB1A" w14:textId="31F7185C" w:rsidR="00120D1A" w:rsidRPr="009039D3" w:rsidRDefault="00120D1A" w:rsidP="00F4459D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b w:val="0"/>
                <w:i/>
                <w:sz w:val="22"/>
                <w:szCs w:val="22"/>
              </w:rPr>
            </w:pPr>
            <w:r w:rsidRPr="009039D3">
              <w:rPr>
                <w:rFonts w:asciiTheme="majorHAnsi" w:hAnsiTheme="majorHAnsi" w:cstheme="majorHAnsi"/>
                <w:b w:val="0"/>
                <w:i/>
                <w:sz w:val="22"/>
                <w:szCs w:val="22"/>
              </w:rPr>
              <w:t>Consistenza del parco veicolare</w:t>
            </w:r>
          </w:p>
        </w:tc>
        <w:tc>
          <w:tcPr>
            <w:tcW w:w="992" w:type="dxa"/>
          </w:tcPr>
          <w:p w14:paraId="2C387213" w14:textId="40E3F584" w:rsidR="00120D1A" w:rsidRPr="009039D3" w:rsidRDefault="00120D1A" w:rsidP="009039D3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039D3">
              <w:rPr>
                <w:rFonts w:asciiTheme="majorHAnsi" w:hAnsiTheme="majorHAnsi" w:cstheme="majorHAnsi"/>
                <w:b/>
                <w:sz w:val="22"/>
                <w:szCs w:val="22"/>
              </w:rPr>
              <w:t>25%</w:t>
            </w:r>
          </w:p>
        </w:tc>
      </w:tr>
      <w:tr w:rsidR="00120D1A" w14:paraId="2349E24B" w14:textId="77777777" w:rsidTr="00903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D03E242" w14:textId="03639EAA" w:rsidR="00120D1A" w:rsidRPr="009039D3" w:rsidRDefault="00120D1A" w:rsidP="00120D1A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b w:val="0"/>
                <w:i/>
                <w:sz w:val="22"/>
                <w:szCs w:val="22"/>
              </w:rPr>
            </w:pPr>
            <w:r w:rsidRPr="009039D3">
              <w:rPr>
                <w:rFonts w:asciiTheme="majorHAnsi" w:hAnsiTheme="majorHAnsi" w:cstheme="majorHAnsi"/>
                <w:b w:val="0"/>
                <w:i/>
                <w:sz w:val="22"/>
                <w:szCs w:val="22"/>
              </w:rPr>
              <w:t>Vulnerabilità fenomeni naturali</w:t>
            </w:r>
          </w:p>
        </w:tc>
        <w:tc>
          <w:tcPr>
            <w:tcW w:w="992" w:type="dxa"/>
          </w:tcPr>
          <w:p w14:paraId="090BC324" w14:textId="044EA292" w:rsidR="00120D1A" w:rsidRPr="009039D3" w:rsidRDefault="00120D1A" w:rsidP="009039D3">
            <w:pPr>
              <w:spacing w:before="120" w:after="12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039D3">
              <w:rPr>
                <w:rFonts w:asciiTheme="majorHAnsi" w:hAnsiTheme="majorHAnsi" w:cstheme="majorHAnsi"/>
                <w:b/>
                <w:sz w:val="22"/>
                <w:szCs w:val="22"/>
              </w:rPr>
              <w:t>50%</w:t>
            </w:r>
          </w:p>
        </w:tc>
      </w:tr>
    </w:tbl>
    <w:p w14:paraId="74B0F785" w14:textId="7F2796CC" w:rsidR="00120D1A" w:rsidRDefault="009039D3" w:rsidP="00F4459D">
      <w:pP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3FA316" wp14:editId="2CD0FB55">
                <wp:simplePos x="0" y="0"/>
                <wp:positionH relativeFrom="column">
                  <wp:posOffset>3378200</wp:posOffset>
                </wp:positionH>
                <wp:positionV relativeFrom="paragraph">
                  <wp:posOffset>333375</wp:posOffset>
                </wp:positionV>
                <wp:extent cx="1019810" cy="339725"/>
                <wp:effectExtent l="0" t="0" r="8890" b="3175"/>
                <wp:wrapTight wrapText="bothSides">
                  <wp:wrapPolygon edited="0">
                    <wp:start x="0" y="0"/>
                    <wp:lineTo x="0" y="20591"/>
                    <wp:lineTo x="21385" y="20591"/>
                    <wp:lineTo x="21385" y="0"/>
                    <wp:lineTo x="0" y="0"/>
                  </wp:wrapPolygon>
                </wp:wrapTight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0" cy="3397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BD32A5" w14:textId="13AA63A2" w:rsidR="009039D3" w:rsidRPr="009039D3" w:rsidRDefault="009039D3" w:rsidP="009039D3">
                            <w:pPr>
                              <w:pStyle w:val="Didascalia"/>
                              <w:rPr>
                                <w:rFonts w:asciiTheme="majorHAnsi" w:hAnsiTheme="majorHAnsi" w:cstheme="majorHAnsi"/>
                                <w:noProof/>
                                <w:color w:val="auto"/>
                                <w:sz w:val="20"/>
                              </w:rPr>
                            </w:pPr>
                            <w:r w:rsidRPr="009039D3">
                              <w:rPr>
                                <w:color w:val="auto"/>
                                <w:sz w:val="20"/>
                              </w:rPr>
                              <w:t xml:space="preserve">Figura </w:t>
                            </w:r>
                            <w:r w:rsidRPr="009039D3">
                              <w:rPr>
                                <w:color w:val="auto"/>
                                <w:sz w:val="20"/>
                              </w:rPr>
                              <w:fldChar w:fldCharType="begin"/>
                            </w:r>
                            <w:r w:rsidRPr="009039D3">
                              <w:rPr>
                                <w:color w:val="auto"/>
                                <w:sz w:val="20"/>
                              </w:rPr>
                              <w:instrText xml:space="preserve"> SEQ Figura \* ARABIC </w:instrText>
                            </w:r>
                            <w:r w:rsidRPr="009039D3">
                              <w:rPr>
                                <w:color w:val="auto"/>
                                <w:sz w:val="20"/>
                              </w:rPr>
                              <w:fldChar w:fldCharType="separate"/>
                            </w:r>
                            <w:r w:rsidR="009C6956">
                              <w:rPr>
                                <w:noProof/>
                                <w:color w:val="auto"/>
                                <w:sz w:val="20"/>
                              </w:rPr>
                              <w:t>4</w:t>
                            </w:r>
                            <w:r w:rsidRPr="009039D3">
                              <w:rPr>
                                <w:color w:val="auto"/>
                                <w:sz w:val="20"/>
                              </w:rPr>
                              <w:fldChar w:fldCharType="end"/>
                            </w:r>
                            <w:r w:rsidRPr="009039D3">
                              <w:rPr>
                                <w:color w:val="auto"/>
                                <w:sz w:val="20"/>
                              </w:rPr>
                              <w:t xml:space="preserve"> </w:t>
                            </w:r>
                            <w:r w:rsidRPr="009039D3">
                              <w:rPr>
                                <w:b w:val="0"/>
                                <w:color w:val="auto"/>
                                <w:sz w:val="20"/>
                              </w:rPr>
                              <w:t>Indice di riparto totale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FA316" id="Casella di testo 8" o:spid="_x0000_s1029" type="#_x0000_t202" style="position:absolute;left:0;text-align:left;margin-left:266pt;margin-top:26.25pt;width:80.3pt;height: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" stroked="f">
                <v:textbox inset="0,0,0,0">
                  <w:txbxContent>
                    <w:p w14:paraId="60BD32A5" w14:textId="13AA63A2" w:rsidR="009039D3" w:rsidRPr="009039D3" w:rsidRDefault="009039D3" w:rsidP="009039D3">
                      <w:pPr>
                        <w:pStyle w:val="Didascalia"/>
                        <w:rPr>
                          <w:rFonts w:asciiTheme="majorHAnsi" w:hAnsiTheme="majorHAnsi" w:cstheme="majorHAnsi"/>
                          <w:noProof/>
                          <w:color w:val="auto"/>
                          <w:sz w:val="20"/>
                        </w:rPr>
                      </w:pPr>
                      <w:r w:rsidRPr="009039D3">
                        <w:rPr>
                          <w:color w:val="auto"/>
                          <w:sz w:val="20"/>
                        </w:rPr>
                        <w:t xml:space="preserve">Figura </w:t>
                      </w:r>
                      <w:r w:rsidRPr="009039D3">
                        <w:rPr>
                          <w:color w:val="auto"/>
                          <w:sz w:val="20"/>
                        </w:rPr>
                        <w:fldChar w:fldCharType="begin"/>
                      </w:r>
                      <w:r w:rsidRPr="009039D3">
                        <w:rPr>
                          <w:color w:val="auto"/>
                          <w:sz w:val="20"/>
                        </w:rPr>
                        <w:instrText xml:space="preserve"> SEQ Figura \* ARABIC </w:instrText>
                      </w:r>
                      <w:r w:rsidRPr="009039D3">
                        <w:rPr>
                          <w:color w:val="auto"/>
                          <w:sz w:val="20"/>
                        </w:rPr>
                        <w:fldChar w:fldCharType="separate"/>
                      </w:r>
                      <w:r w:rsidR="009C6956">
                        <w:rPr>
                          <w:noProof/>
                          <w:color w:val="auto"/>
                          <w:sz w:val="20"/>
                        </w:rPr>
                        <w:t>4</w:t>
                      </w:r>
                      <w:r w:rsidRPr="009039D3">
                        <w:rPr>
                          <w:color w:val="auto"/>
                          <w:sz w:val="20"/>
                        </w:rPr>
                        <w:fldChar w:fldCharType="end"/>
                      </w:r>
                      <w:r w:rsidRPr="009039D3">
                        <w:rPr>
                          <w:color w:val="auto"/>
                          <w:sz w:val="20"/>
                        </w:rPr>
                        <w:t xml:space="preserve"> </w:t>
                      </w:r>
                      <w:r w:rsidRPr="009039D3">
                        <w:rPr>
                          <w:b w:val="0"/>
                          <w:color w:val="auto"/>
                          <w:sz w:val="20"/>
                        </w:rPr>
                        <w:t>Indice di riparto totale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HAnsi" w:hAnsiTheme="majorHAnsi" w:cstheme="majorHAnsi"/>
          <w:sz w:val="22"/>
          <w:szCs w:val="22"/>
        </w:rPr>
        <w:t>Il risultato è graficamente rappresentato a lato.</w:t>
      </w:r>
    </w:p>
    <w:p w14:paraId="60313998" w14:textId="759563EE" w:rsidR="009039D3" w:rsidRPr="002C68CD" w:rsidRDefault="009039D3" w:rsidP="00F4459D">
      <w:pPr>
        <w:spacing w:before="12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Negli allegati di riparto sono riportati i valori numerici per ogni provincia o città metropolitana.</w:t>
      </w:r>
    </w:p>
    <w:sectPr w:rsidR="009039D3" w:rsidRPr="002C68CD" w:rsidSect="002C68CD">
      <w:type w:val="continuous"/>
      <w:pgSz w:w="11900" w:h="16840"/>
      <w:pgMar w:top="720" w:right="843" w:bottom="426" w:left="993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5532"/>
    <w:multiLevelType w:val="hybridMultilevel"/>
    <w:tmpl w:val="5BF06B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25E45"/>
    <w:multiLevelType w:val="hybridMultilevel"/>
    <w:tmpl w:val="A39E5E1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C7F0B"/>
    <w:multiLevelType w:val="hybridMultilevel"/>
    <w:tmpl w:val="C02AA5E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D51F2"/>
    <w:multiLevelType w:val="hybridMultilevel"/>
    <w:tmpl w:val="E4F671B0"/>
    <w:lvl w:ilvl="0" w:tplc="FE4C6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80F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BAB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84D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6EED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8847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40E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E47F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C64B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781BBD"/>
    <w:multiLevelType w:val="hybridMultilevel"/>
    <w:tmpl w:val="9D7C2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20E98"/>
    <w:multiLevelType w:val="hybridMultilevel"/>
    <w:tmpl w:val="C02AA5E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931CA"/>
    <w:multiLevelType w:val="hybridMultilevel"/>
    <w:tmpl w:val="C02AA5E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F5B1F"/>
    <w:multiLevelType w:val="hybridMultilevel"/>
    <w:tmpl w:val="F4D8C82E"/>
    <w:lvl w:ilvl="0" w:tplc="13342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8C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2A0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525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AB5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E5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446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C067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8A8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ED380C"/>
    <w:multiLevelType w:val="hybridMultilevel"/>
    <w:tmpl w:val="5BF06B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A47A0"/>
    <w:multiLevelType w:val="hybridMultilevel"/>
    <w:tmpl w:val="C02AA5E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2543D"/>
    <w:multiLevelType w:val="hybridMultilevel"/>
    <w:tmpl w:val="CFFA4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C338C"/>
    <w:multiLevelType w:val="hybridMultilevel"/>
    <w:tmpl w:val="5BF06B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2EA"/>
    <w:rsid w:val="000719BD"/>
    <w:rsid w:val="00094AC2"/>
    <w:rsid w:val="000F76E9"/>
    <w:rsid w:val="00120D1A"/>
    <w:rsid w:val="00126CF0"/>
    <w:rsid w:val="001274CB"/>
    <w:rsid w:val="001407BB"/>
    <w:rsid w:val="001C1403"/>
    <w:rsid w:val="001D5661"/>
    <w:rsid w:val="001F4A75"/>
    <w:rsid w:val="002155E1"/>
    <w:rsid w:val="002C68CD"/>
    <w:rsid w:val="002D7523"/>
    <w:rsid w:val="002F3D10"/>
    <w:rsid w:val="003314A7"/>
    <w:rsid w:val="00341F63"/>
    <w:rsid w:val="00362B37"/>
    <w:rsid w:val="003902EA"/>
    <w:rsid w:val="003C4DEF"/>
    <w:rsid w:val="004C5AB6"/>
    <w:rsid w:val="004D5CC1"/>
    <w:rsid w:val="004F150E"/>
    <w:rsid w:val="00511554"/>
    <w:rsid w:val="0056577F"/>
    <w:rsid w:val="00571ABC"/>
    <w:rsid w:val="00580C22"/>
    <w:rsid w:val="005F6D53"/>
    <w:rsid w:val="00623637"/>
    <w:rsid w:val="00645344"/>
    <w:rsid w:val="00765C73"/>
    <w:rsid w:val="007D660A"/>
    <w:rsid w:val="007E2664"/>
    <w:rsid w:val="008727FC"/>
    <w:rsid w:val="009039D3"/>
    <w:rsid w:val="00904EC3"/>
    <w:rsid w:val="00956274"/>
    <w:rsid w:val="009B0F06"/>
    <w:rsid w:val="009C6956"/>
    <w:rsid w:val="009E7580"/>
    <w:rsid w:val="00A462D3"/>
    <w:rsid w:val="00AD3C08"/>
    <w:rsid w:val="00BD4545"/>
    <w:rsid w:val="00C30F10"/>
    <w:rsid w:val="00C509A8"/>
    <w:rsid w:val="00D27C9C"/>
    <w:rsid w:val="00E15342"/>
    <w:rsid w:val="00F4459D"/>
    <w:rsid w:val="00F94612"/>
    <w:rsid w:val="00FB25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280B6"/>
  <w15:docId w15:val="{F4C68A46-0507-084A-9F29-C84B3552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7C9C"/>
  </w:style>
  <w:style w:type="paragraph" w:styleId="Titolo1">
    <w:name w:val="heading 1"/>
    <w:basedOn w:val="Normale"/>
    <w:next w:val="Normale"/>
    <w:link w:val="Titolo1Carattere"/>
    <w:uiPriority w:val="9"/>
    <w:qFormat/>
    <w:rsid w:val="00F445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363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155E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7D66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F445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445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44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fondochiaro-Colore1">
    <w:name w:val="Light Shading Accent 1"/>
    <w:basedOn w:val="Tabellanormale"/>
    <w:uiPriority w:val="60"/>
    <w:rsid w:val="00E15342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Testosegnaposto">
    <w:name w:val="Placeholder Text"/>
    <w:basedOn w:val="Carpredefinitoparagrafo"/>
    <w:uiPriority w:val="99"/>
    <w:semiHidden/>
    <w:rsid w:val="00E1534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34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342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9B0F06"/>
    <w:rPr>
      <w:b/>
      <w:bCs/>
      <w:color w:val="4F81BD" w:themeColor="accent1"/>
      <w:sz w:val="18"/>
      <w:szCs w:val="18"/>
    </w:rPr>
  </w:style>
  <w:style w:type="table" w:styleId="Sfondochiaro">
    <w:name w:val="Light Shading"/>
    <w:basedOn w:val="Tabellanormale"/>
    <w:uiPriority w:val="60"/>
    <w:rsid w:val="00120D1A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38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5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14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2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7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3B3C-0749-4897-B569-74134D93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Velardi</dc:creator>
  <cp:lastModifiedBy>Luisa Gottardi</cp:lastModifiedBy>
  <cp:revision>2</cp:revision>
  <cp:lastPrinted>2020-10-30T13:46:00Z</cp:lastPrinted>
  <dcterms:created xsi:type="dcterms:W3CDTF">2022-03-16T12:28:00Z</dcterms:created>
  <dcterms:modified xsi:type="dcterms:W3CDTF">2022-03-16T12:28:00Z</dcterms:modified>
</cp:coreProperties>
</file>